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B130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9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B130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07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B130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августа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7F6B33" w:rsidRPr="0027153A" w:rsidRDefault="007F6B33" w:rsidP="007F6B33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DE5AE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F6B33" w:rsidRPr="007F6B33" w:rsidRDefault="007F6B33" w:rsidP="007F6B33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DE5AEB">
        <w:trPr>
          <w:trHeight w:val="411"/>
        </w:trPr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 w:rsidP="00DE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7F6B33" w:rsidRPr="0027153A" w:rsidRDefault="00DE5AEB" w:rsidP="007F6B3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разработке проектной документации (в объеме рабочей документации)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  <w:proofErr w:type="gramEnd"/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B13065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DB56AF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B56AF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8-905-998-09-87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7F6B33">
              <w:rPr>
                <w:rFonts w:ascii="Times New Roman" w:hAnsi="Times New Roman"/>
                <w:sz w:val="24"/>
                <w:szCs w:val="24"/>
              </w:rPr>
              <w:t>0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B33">
              <w:rPr>
                <w:rFonts w:ascii="Times New Roman" w:hAnsi="Times New Roman"/>
                <w:sz w:val="24"/>
                <w:szCs w:val="24"/>
              </w:rPr>
              <w:t>(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ремонт 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r w:rsidR="007F6B33">
              <w:rPr>
                <w:rFonts w:ascii="Times New Roman" w:hAnsi="Times New Roman"/>
                <w:sz w:val="24"/>
                <w:szCs w:val="24"/>
              </w:rPr>
              <w:t xml:space="preserve">(ремонт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B56AF">
              <w:rPr>
                <w:rFonts w:ascii="Times New Roman" w:hAnsi="Times New Roman" w:cs="Times New Roman"/>
                <w:bCs/>
                <w:sz w:val="26"/>
                <w:szCs w:val="26"/>
              </w:rPr>
              <w:t>400 976,40</w:t>
            </w:r>
            <w:r w:rsidR="00EA429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работ по капитальному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 xml:space="preserve"> ремонту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49196A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  <w:r w:rsidR="00DB56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Оплата </w:t>
            </w:r>
            <w:proofErr w:type="gramStart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</w:t>
            </w:r>
            <w:proofErr w:type="gramEnd"/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финансирования:</w:t>
            </w:r>
          </w:p>
        </w:tc>
        <w:tc>
          <w:tcPr>
            <w:tcW w:w="6583" w:type="dxa"/>
          </w:tcPr>
          <w:p w:rsidR="00DE7772" w:rsidRPr="00145529" w:rsidRDefault="00835F36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6816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8167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15E7E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B13065" w:rsidP="00D318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7A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B13065" w:rsidP="00F97A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7A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B13065" w:rsidP="00B1306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97A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Участник закупки подает в письменной форме заявку на участие в конкурсе в запечатанном конверте, не позволяющем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участие в конкурсе которого</w:t>
            </w:r>
            <w:r w:rsidR="00DB56A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38AA"/>
    <w:rsid w:val="00475C65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317C"/>
    <w:rsid w:val="00605F6E"/>
    <w:rsid w:val="006300A0"/>
    <w:rsid w:val="0063081A"/>
    <w:rsid w:val="00634220"/>
    <w:rsid w:val="00636A16"/>
    <w:rsid w:val="006371D2"/>
    <w:rsid w:val="00644530"/>
    <w:rsid w:val="00653D82"/>
    <w:rsid w:val="00660035"/>
    <w:rsid w:val="006672FA"/>
    <w:rsid w:val="0068167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E494D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13065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08F8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15E7E"/>
    <w:rsid w:val="00D236C0"/>
    <w:rsid w:val="00D31865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56AF"/>
    <w:rsid w:val="00DB60A4"/>
    <w:rsid w:val="00DD6B1E"/>
    <w:rsid w:val="00DE34F1"/>
    <w:rsid w:val="00DE5AEB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A429E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97A57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4BCD-0AD2-46B8-A354-D330F669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Аида Анатольевна</dc:creator>
  <cp:lastModifiedBy>Пирожкова Н.В.</cp:lastModifiedBy>
  <cp:revision>2</cp:revision>
  <cp:lastPrinted>2025-06-05T05:09:00Z</cp:lastPrinted>
  <dcterms:created xsi:type="dcterms:W3CDTF">2025-08-07T01:42:00Z</dcterms:created>
  <dcterms:modified xsi:type="dcterms:W3CDTF">2025-08-07T01:42:00Z</dcterms:modified>
</cp:coreProperties>
</file>